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1FD6" w14:textId="77777777" w:rsidR="00914B8B" w:rsidRPr="00E124F3" w:rsidRDefault="00E124F3" w:rsidP="00E124F3">
      <w:pPr>
        <w:contextualSpacing/>
        <w:jc w:val="center"/>
        <w:rPr>
          <w:b/>
          <w:sz w:val="40"/>
        </w:rPr>
      </w:pPr>
      <w:r w:rsidRPr="00E124F3">
        <w:rPr>
          <w:b/>
          <w:sz w:val="40"/>
        </w:rPr>
        <w:t>HZZO Indikacija 368 – Dexcom ONE sustav:</w:t>
      </w:r>
    </w:p>
    <w:p w14:paraId="40BC0E70" w14:textId="77777777" w:rsidR="00E124F3" w:rsidRDefault="00E124F3" w:rsidP="00E124F3">
      <w:pPr>
        <w:contextualSpacing/>
        <w:jc w:val="both"/>
      </w:pPr>
    </w:p>
    <w:p w14:paraId="0982B34A" w14:textId="77777777" w:rsidR="00E124F3" w:rsidRPr="00E124F3" w:rsidRDefault="00E124F3" w:rsidP="00E124F3">
      <w:pPr>
        <w:pStyle w:val="Heading2"/>
        <w:rPr>
          <w:b/>
        </w:rPr>
      </w:pPr>
      <w:r w:rsidRPr="00E124F3">
        <w:rPr>
          <w:b/>
        </w:rPr>
        <w:t xml:space="preserve">Za osigurane osobe koje boluju od šećerne bolesti: </w:t>
      </w:r>
    </w:p>
    <w:p w14:paraId="7624C4C5" w14:textId="77777777" w:rsidR="00E124F3" w:rsidRDefault="00E124F3" w:rsidP="00E124F3">
      <w:pPr>
        <w:contextualSpacing/>
        <w:jc w:val="both"/>
      </w:pPr>
      <w:r>
        <w:t>1. djeca koja boluju od šećerne bolesti tipa 1, od navršene 2. do navršene 18. godine života (nakon navršene 18. godine života provodi se evaluacija o uspješnosti liječenja i procjena indikacije za daljnje korištenje)</w:t>
      </w:r>
    </w:p>
    <w:p w14:paraId="7B9D9DD1" w14:textId="77777777" w:rsidR="00E124F3" w:rsidRDefault="00E124F3" w:rsidP="00E124F3">
      <w:pPr>
        <w:contextualSpacing/>
        <w:jc w:val="both"/>
      </w:pPr>
      <w:r>
        <w:t>2. trudnice sa šećernom bolesti tipa 1 i one koje boluju od šećerne bolesti tipa 2 tijekom trudnoće i ako su na bazal-bolus terapiji inzulinom (s 4 i više doza inzulina)</w:t>
      </w:r>
    </w:p>
    <w:p w14:paraId="68BC5CA0" w14:textId="77777777" w:rsidR="00E124F3" w:rsidRDefault="00E124F3" w:rsidP="00E124F3">
      <w:pPr>
        <w:contextualSpacing/>
        <w:jc w:val="both"/>
      </w:pPr>
      <w:r>
        <w:t>3. slijepe osobe sa šećernom bolesti tipa 1 i oni koji boluju od šećerne bolesti tipa 2 ako su na terapiji inzulinom</w:t>
      </w:r>
    </w:p>
    <w:p w14:paraId="1D3A5027" w14:textId="77777777" w:rsidR="00E124F3" w:rsidRDefault="00E124F3" w:rsidP="00E124F3">
      <w:pPr>
        <w:contextualSpacing/>
        <w:jc w:val="both"/>
      </w:pPr>
      <w:r>
        <w:t>4. bolesnici sa šećernom bolesti tipa 1 na bazal-bolus terapiji inzulinom (s 4 i više doza inzulina), s najmanje tri dokumentirane hipoglikemije u zadnjih mjesec dana (GUK&lt;3,9 mmol/L) prema podacima iz uređaja za očitavanje koncentracije šećera u krvi kod osigurane osobe i/ili laboratorijskih nalaza</w:t>
      </w:r>
    </w:p>
    <w:p w14:paraId="61219C77" w14:textId="77777777" w:rsidR="00E124F3" w:rsidRDefault="00E124F3" w:rsidP="00E124F3">
      <w:pPr>
        <w:contextualSpacing/>
        <w:jc w:val="both"/>
      </w:pPr>
      <w:r>
        <w:t xml:space="preserve">5. bolesnici nakon totalne pankreatektomije </w:t>
      </w:r>
    </w:p>
    <w:p w14:paraId="617C7930" w14:textId="77777777" w:rsidR="00E124F3" w:rsidRDefault="00E124F3" w:rsidP="00E124F3">
      <w:pPr>
        <w:contextualSpacing/>
        <w:jc w:val="both"/>
      </w:pPr>
      <w:r>
        <w:t>6. bolesnici s cističnom fibrozom koji se liječe bazal-bolus terapijom inzulinom (s 4 i više doza inzulina).</w:t>
      </w:r>
    </w:p>
    <w:p w14:paraId="7F421F38" w14:textId="77777777" w:rsidR="00E124F3" w:rsidRDefault="00E124F3" w:rsidP="00E124F3">
      <w:pPr>
        <w:contextualSpacing/>
        <w:jc w:val="both"/>
      </w:pPr>
    </w:p>
    <w:p w14:paraId="26B4A00E" w14:textId="77777777" w:rsidR="00E124F3" w:rsidRPr="00E124F3" w:rsidRDefault="00E124F3" w:rsidP="00E124F3">
      <w:pPr>
        <w:contextualSpacing/>
        <w:jc w:val="both"/>
        <w:rPr>
          <w:b/>
        </w:rPr>
      </w:pPr>
      <w:r w:rsidRPr="00E124F3">
        <w:rPr>
          <w:b/>
        </w:rPr>
        <w:t xml:space="preserve">Indikaciju za pomagalo može postaviti, odnosno obaveznu evaluaciju ishoda primjene pomagala provodi, bolnički doktor sub/specijalist endokrinologije i/ili dijabetologije iz ugovorne bolničke zdravstvene ustanove, koji se bavi liječenjem šećerne bolesti, a koji je u nalazu obvezan obrazložiti razlog za postavljanje indikacije za početak odnosno nastavak korištenja pomagala. </w:t>
      </w:r>
    </w:p>
    <w:p w14:paraId="7A6D0489" w14:textId="77777777" w:rsidR="00E124F3" w:rsidRDefault="00E124F3" w:rsidP="00E124F3">
      <w:pPr>
        <w:contextualSpacing/>
        <w:jc w:val="both"/>
      </w:pPr>
    </w:p>
    <w:p w14:paraId="4353F89A" w14:textId="77777777" w:rsidR="00E124F3" w:rsidRDefault="00E124F3" w:rsidP="00E124F3">
      <w:pPr>
        <w:contextualSpacing/>
        <w:jc w:val="both"/>
      </w:pPr>
      <w:r>
        <w:t>Bolnički specijalist, koji postavlja indikaciju i predlaže korištenje ovog pomagala, obavezan je osiguranu osobu upoznati s načinom rada i svim aspektima korištenja pomagala te time da je moguć odabir između upotrebe prijemnika ili aplikacije za koju je potrebno posjedovati vlastiti pametni mobilni uređaj. U slučaju odluke za mobilnu aplikaciju koja prikuplja podatke korisnika, nužna je napomena da Zavod nije taj koji prikuplja podatke niti je voditelj obrade osobnih podataka, obzirom da Zavod ne utječe na podatke koje korisnik odlučuje unijeti u aplikaciju niti je aplikacija spojena na informacijski sustav Zavoda te da pristaje na korištenje predloženog pomagala, što se potvrđuje potpisivanjem Izjave. Izjavu pohranjuje bolnički specijalist, a u specijalistički nalaz obavezno navodi da je bolesnik upoznat s korištenjem pomagala, što je potvrdio potpisom Izjave.</w:t>
      </w:r>
    </w:p>
    <w:p w14:paraId="0774F71A" w14:textId="77777777" w:rsidR="00E124F3" w:rsidRDefault="00E124F3" w:rsidP="00E124F3">
      <w:pPr>
        <w:contextualSpacing/>
        <w:jc w:val="both"/>
      </w:pPr>
    </w:p>
    <w:p w14:paraId="2D385B0A" w14:textId="77777777" w:rsidR="00E124F3" w:rsidRDefault="00E124F3" w:rsidP="00E124F3">
      <w:pPr>
        <w:contextualSpacing/>
        <w:jc w:val="both"/>
      </w:pPr>
      <w:r>
        <w:t>Evaluacija ishoda primjene pomagala obavezno se provodi najmanje jedanput u prva tri mjeseca, a zatim nakon 6 i 12 mjeseci od početka korištenja pomagala te u daljnjem praćenju jedanput godišnje.</w:t>
      </w:r>
    </w:p>
    <w:p w14:paraId="66096A1E" w14:textId="77777777" w:rsidR="00E124F3" w:rsidRDefault="00E124F3" w:rsidP="00E124F3">
      <w:pPr>
        <w:contextualSpacing/>
        <w:jc w:val="both"/>
      </w:pPr>
      <w:r>
        <w:t>Za svako nastavno propisivanje pomagala potrebno je priložiti odgovarajuću medicinsku dokumentaciju osnovom koje nadležni bolnički doktor iz ugovorne bolničke ustanove daje preporuku za nastavkom primjene pomagala, zajedno s dokazom o provedenim kontrolama.</w:t>
      </w:r>
    </w:p>
    <w:p w14:paraId="1238F8C9" w14:textId="77777777" w:rsidR="00E124F3" w:rsidRDefault="00E124F3" w:rsidP="00E124F3">
      <w:pPr>
        <w:contextualSpacing/>
        <w:jc w:val="both"/>
      </w:pPr>
    </w:p>
    <w:p w14:paraId="2EAD0279" w14:textId="77777777" w:rsidR="00E124F3" w:rsidRPr="00E124F3" w:rsidRDefault="00E124F3" w:rsidP="00E124F3">
      <w:pPr>
        <w:pStyle w:val="Heading2"/>
        <w:rPr>
          <w:b/>
        </w:rPr>
      </w:pPr>
      <w:r w:rsidRPr="00E124F3">
        <w:rPr>
          <w:b/>
        </w:rPr>
        <w:t xml:space="preserve">Osigurana osoba ne može ostvariti pravo na nastavak propisivanja pomagala ako nije došlo do očekivanog ishoda primjene pomagala, što se utvrđuje time da: </w:t>
      </w:r>
    </w:p>
    <w:p w14:paraId="3E44B26D" w14:textId="77777777" w:rsidR="00E124F3" w:rsidRDefault="00E124F3" w:rsidP="00E124F3">
      <w:pPr>
        <w:contextualSpacing/>
        <w:jc w:val="both"/>
      </w:pPr>
      <w:r>
        <w:t>1. nakon 6 mjeseci od početka korištenja pomagala nije postignut porast TIR (vrijeme u ciljnom rasponu) za 5% i/ili smanjenje TBR (vrijeme ispod ciljnog raspona) za 1%;</w:t>
      </w:r>
    </w:p>
    <w:p w14:paraId="6C7DCA99" w14:textId="77777777" w:rsidR="00E124F3" w:rsidRDefault="00E124F3" w:rsidP="00E124F3">
      <w:pPr>
        <w:contextualSpacing/>
        <w:jc w:val="both"/>
      </w:pPr>
      <w:r>
        <w:t>2. pri svakoj kontroli nije moguće utvrditi da je bolesnik nosio senzor više od 80% vremena u periodu od najmanje tri mjeseca.</w:t>
      </w:r>
    </w:p>
    <w:p w14:paraId="30D248F8" w14:textId="77777777" w:rsidR="00E124F3" w:rsidRDefault="00E124F3" w:rsidP="00E124F3">
      <w:pPr>
        <w:contextualSpacing/>
        <w:jc w:val="both"/>
      </w:pPr>
    </w:p>
    <w:p w14:paraId="0E460F77" w14:textId="77777777" w:rsidR="00E124F3" w:rsidRDefault="00E124F3" w:rsidP="00E124F3">
      <w:pPr>
        <w:contextualSpacing/>
        <w:jc w:val="both"/>
        <w:rPr>
          <w:b/>
        </w:rPr>
      </w:pPr>
    </w:p>
    <w:p w14:paraId="30CBF2A4" w14:textId="77777777" w:rsidR="00E124F3" w:rsidRPr="00E124F3" w:rsidRDefault="00E124F3" w:rsidP="00E124F3">
      <w:pPr>
        <w:pStyle w:val="Heading2"/>
        <w:rPr>
          <w:b/>
        </w:rPr>
      </w:pPr>
      <w:r w:rsidRPr="00E124F3">
        <w:rPr>
          <w:b/>
        </w:rPr>
        <w:lastRenderedPageBreak/>
        <w:t>Napomene:</w:t>
      </w:r>
    </w:p>
    <w:p w14:paraId="1B285014" w14:textId="77777777" w:rsidR="00E124F3" w:rsidRDefault="00E124F3" w:rsidP="00E124F3">
      <w:pPr>
        <w:pStyle w:val="Heading3"/>
      </w:pPr>
      <w:r>
        <w:t>A) Kod prvog propisivanja pomagala osiguranoj osobi propisuje se:</w:t>
      </w:r>
    </w:p>
    <w:p w14:paraId="7494C237" w14:textId="77777777" w:rsidR="00E124F3" w:rsidRDefault="00E124F3" w:rsidP="00E124F3">
      <w:pPr>
        <w:contextualSpacing/>
        <w:jc w:val="both"/>
      </w:pPr>
      <w:r>
        <w:t>- početni komplet (koji sadrži jedan odašiljač i jedan senzor te uređaj za mjerenje glukoze u krvi)</w:t>
      </w:r>
    </w:p>
    <w:p w14:paraId="09EBA59B" w14:textId="77777777" w:rsidR="00E124F3" w:rsidRDefault="00E124F3" w:rsidP="00E124F3">
      <w:pPr>
        <w:contextualSpacing/>
        <w:jc w:val="both"/>
      </w:pPr>
      <w:r>
        <w:t>- 8 senzora (uz koje se osigurava 100 dijagnostičkih traka za očitavanje iz krvi i 100 lanceta)</w:t>
      </w:r>
    </w:p>
    <w:p w14:paraId="303CD4E5" w14:textId="77777777" w:rsidR="00E124F3" w:rsidRDefault="00E124F3" w:rsidP="00E124F3">
      <w:pPr>
        <w:contextualSpacing/>
        <w:jc w:val="both"/>
      </w:pPr>
      <w:r>
        <w:t xml:space="preserve">- prijemnik (neobavezno, u slučaju spajanja odašiljača s prijemnikom) </w:t>
      </w:r>
    </w:p>
    <w:p w14:paraId="28C027C4" w14:textId="77777777" w:rsidR="00E124F3" w:rsidRPr="00E124F3" w:rsidRDefault="00E124F3" w:rsidP="00E124F3">
      <w:pPr>
        <w:pStyle w:val="Heading4"/>
        <w:rPr>
          <w:b/>
        </w:rPr>
      </w:pPr>
      <w:r>
        <w:t xml:space="preserve">                                                                                                                                                                                                                                                                                                                                                                                                                                                                                                    </w:t>
      </w:r>
      <w:r w:rsidRPr="00E124F3">
        <w:rPr>
          <w:b/>
        </w:rPr>
        <w:t xml:space="preserve">Kod nastavnog (tromjesečnog) propisivanja osiguranoj osobi propisuje se: </w:t>
      </w:r>
    </w:p>
    <w:p w14:paraId="6EC2441F" w14:textId="77777777" w:rsidR="00E124F3" w:rsidRDefault="00E124F3" w:rsidP="00E124F3">
      <w:pPr>
        <w:contextualSpacing/>
        <w:jc w:val="both"/>
      </w:pPr>
      <w:r>
        <w:t>- 1 odašiljač</w:t>
      </w:r>
    </w:p>
    <w:p w14:paraId="2DBC42C3" w14:textId="77777777" w:rsidR="00E124F3" w:rsidRDefault="00E124F3" w:rsidP="00E124F3">
      <w:pPr>
        <w:contextualSpacing/>
        <w:jc w:val="both"/>
      </w:pPr>
      <w:r>
        <w:t>- 9 senzora (uz koje se osigurava 100 dijagnostičkih traka za očitavanje iz krvi i 100 lanceta).</w:t>
      </w:r>
    </w:p>
    <w:p w14:paraId="2A5A0317" w14:textId="77777777" w:rsidR="00E124F3" w:rsidRDefault="00E124F3" w:rsidP="00E124F3">
      <w:pPr>
        <w:contextualSpacing/>
        <w:jc w:val="both"/>
      </w:pPr>
      <w:r>
        <w:t>U godini ostvarivanja prava na početni komplet za kontinuirano mjerenje glukoze, osigurana osoba ostvaruje pravo na 35 senzor</w:t>
      </w:r>
      <w:bookmarkStart w:id="0" w:name="_GoBack"/>
      <w:bookmarkEnd w:id="0"/>
      <w:r>
        <w:t xml:space="preserve">a, jer je 1 senzor sadržan u početnom kompletu, sveukupno 36 senzora godišnje.                                                                                                                                                 </w:t>
      </w:r>
    </w:p>
    <w:p w14:paraId="5A35516F" w14:textId="77777777" w:rsidR="00E124F3" w:rsidRDefault="00E124F3" w:rsidP="00E124F3">
      <w:pPr>
        <w:contextualSpacing/>
        <w:jc w:val="both"/>
      </w:pPr>
    </w:p>
    <w:p w14:paraId="4A82057C" w14:textId="77777777" w:rsidR="00E124F3" w:rsidRPr="00E124F3" w:rsidRDefault="00E124F3" w:rsidP="00BC3393">
      <w:pPr>
        <w:pStyle w:val="Heading3"/>
        <w:pBdr>
          <w:top w:val="single" w:sz="4" w:space="1" w:color="auto"/>
          <w:left w:val="single" w:sz="4" w:space="4" w:color="auto"/>
          <w:bottom w:val="single" w:sz="4" w:space="1" w:color="auto"/>
          <w:right w:val="single" w:sz="4" w:space="4" w:color="auto"/>
        </w:pBdr>
        <w:rPr>
          <w:b/>
        </w:rPr>
      </w:pPr>
      <w:r w:rsidRPr="00E124F3">
        <w:rPr>
          <w:b/>
        </w:rPr>
        <w:t xml:space="preserve">B) Osigurana osoba koja je ostvarila pravo na predmetno pomagalo, </w:t>
      </w:r>
      <w:r w:rsidRPr="00E124F3">
        <w:rPr>
          <w:b/>
          <w:color w:val="FF0000"/>
          <w:u w:val="single"/>
        </w:rPr>
        <w:t>ne ostvaruje pravo na</w:t>
      </w:r>
      <w:r w:rsidRPr="00E124F3">
        <w:rPr>
          <w:b/>
        </w:rPr>
        <w:t>:</w:t>
      </w:r>
    </w:p>
    <w:p w14:paraId="7919510B" w14:textId="77777777" w:rsidR="00E124F3" w:rsidRDefault="00E124F3" w:rsidP="00BC3393">
      <w:pPr>
        <w:pBdr>
          <w:top w:val="single" w:sz="4" w:space="1" w:color="auto"/>
          <w:left w:val="single" w:sz="4" w:space="4" w:color="auto"/>
          <w:bottom w:val="single" w:sz="4" w:space="1" w:color="auto"/>
          <w:right w:val="single" w:sz="4" w:space="4" w:color="auto"/>
        </w:pBdr>
        <w:contextualSpacing/>
        <w:jc w:val="both"/>
      </w:pPr>
      <w:r>
        <w:t>-</w:t>
      </w:r>
      <w:r>
        <w:t xml:space="preserve"> </w:t>
      </w:r>
      <w:r>
        <w:t>set za brzo očitavanje koncentracije šećera u krvi, dg. trakice za mjerenje GUK-a i lancete (iste su sadržane u kvartalnom setu),</w:t>
      </w:r>
    </w:p>
    <w:p w14:paraId="5B46FB85" w14:textId="77777777" w:rsidR="00E124F3" w:rsidRDefault="00E124F3" w:rsidP="00BC3393">
      <w:pPr>
        <w:pBdr>
          <w:top w:val="single" w:sz="4" w:space="1" w:color="auto"/>
          <w:left w:val="single" w:sz="4" w:space="4" w:color="auto"/>
          <w:bottom w:val="single" w:sz="4" w:space="1" w:color="auto"/>
          <w:right w:val="single" w:sz="4" w:space="4" w:color="auto"/>
        </w:pBdr>
        <w:contextualSpacing/>
        <w:jc w:val="both"/>
      </w:pPr>
      <w:r>
        <w:t>-uređaj za neograničeno skeniranje razine glukoze i pripadajući senzor,</w:t>
      </w:r>
    </w:p>
    <w:p w14:paraId="4D2C0624" w14:textId="77777777" w:rsidR="00E124F3" w:rsidRPr="00E124F3" w:rsidRDefault="00E124F3" w:rsidP="00BC3393">
      <w:pPr>
        <w:pBdr>
          <w:top w:val="single" w:sz="4" w:space="1" w:color="auto"/>
          <w:left w:val="single" w:sz="4" w:space="4" w:color="auto"/>
          <w:bottom w:val="single" w:sz="4" w:space="1" w:color="auto"/>
          <w:right w:val="single" w:sz="4" w:space="4" w:color="auto"/>
        </w:pBdr>
        <w:contextualSpacing/>
        <w:jc w:val="both"/>
        <w:rPr>
          <w:b/>
        </w:rPr>
      </w:pPr>
      <w:r w:rsidRPr="00E124F3">
        <w:rPr>
          <w:b/>
        </w:rPr>
        <w:t xml:space="preserve">-odašiljače za kontinuirano mjerenje glukoze te pripadajuće senzore, drugih proizvođača stavljenih na liste pomagala. </w:t>
      </w:r>
    </w:p>
    <w:p w14:paraId="2CF47157" w14:textId="77777777" w:rsidR="00E124F3" w:rsidRDefault="00E124F3" w:rsidP="00BC3393">
      <w:pPr>
        <w:pBdr>
          <w:top w:val="single" w:sz="4" w:space="1" w:color="auto"/>
          <w:left w:val="single" w:sz="4" w:space="4" w:color="auto"/>
          <w:bottom w:val="single" w:sz="4" w:space="1" w:color="auto"/>
          <w:right w:val="single" w:sz="4" w:space="4" w:color="auto"/>
        </w:pBdr>
        <w:contextualSpacing/>
        <w:jc w:val="both"/>
      </w:pPr>
      <w:r>
        <w:t>Osigurana osoba ne ostvaruje pravo na povećanu količinu senzora za kontinuirano mjerenje glukoze.</w:t>
      </w:r>
    </w:p>
    <w:p w14:paraId="38ACDD6A" w14:textId="77777777" w:rsidR="00E124F3" w:rsidRDefault="00E124F3" w:rsidP="00E124F3">
      <w:pPr>
        <w:contextualSpacing/>
        <w:jc w:val="both"/>
      </w:pPr>
    </w:p>
    <w:p w14:paraId="5AB6F7EF" w14:textId="77777777" w:rsidR="00E124F3" w:rsidRPr="00E124F3" w:rsidRDefault="00E124F3" w:rsidP="00E124F3">
      <w:pPr>
        <w:pStyle w:val="Heading3"/>
        <w:rPr>
          <w:b/>
        </w:rPr>
      </w:pPr>
      <w:r w:rsidRPr="00E124F3">
        <w:rPr>
          <w:b/>
        </w:rPr>
        <w:t xml:space="preserve">C) Hrvatski zavod za zdravstveno osiguranje nema uvid, ne prikuplja, ne obrađuje </w:t>
      </w:r>
    </w:p>
    <w:p w14:paraId="38527027" w14:textId="77777777" w:rsidR="00E124F3" w:rsidRDefault="00E124F3" w:rsidP="00E124F3">
      <w:pPr>
        <w:contextualSpacing/>
        <w:jc w:val="both"/>
      </w:pPr>
      <w:r>
        <w:t xml:space="preserve">niti na bilo koji drugi način ima pristup podacima koji se unose ili koriste preko aplikacije za korištenje pomagala. </w:t>
      </w:r>
    </w:p>
    <w:p w14:paraId="4DA56A53" w14:textId="77777777" w:rsidR="00E124F3" w:rsidRDefault="00E124F3" w:rsidP="00E124F3">
      <w:pPr>
        <w:contextualSpacing/>
        <w:jc w:val="both"/>
      </w:pPr>
    </w:p>
    <w:p w14:paraId="5DECCA0B" w14:textId="77777777" w:rsidR="00E124F3" w:rsidRDefault="00E124F3" w:rsidP="00E124F3">
      <w:pPr>
        <w:contextualSpacing/>
        <w:jc w:val="both"/>
      </w:pPr>
      <w:r>
        <w:t xml:space="preserve">Isporučitelj se obvezuje da će osiguranu osobu kod prvog preuzimanja pomagala upoznati sa svim aspektima korištenja pomagala i aplikacije koja podupire rad pomagala. </w:t>
      </w:r>
    </w:p>
    <w:sectPr w:rsidR="00E12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F3"/>
    <w:rsid w:val="00914B8B"/>
    <w:rsid w:val="00BC3393"/>
    <w:rsid w:val="00C01132"/>
    <w:rsid w:val="00E124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4EA5"/>
  <w15:chartTrackingRefBased/>
  <w15:docId w15:val="{5D7FF1CE-DF08-47D3-9E6B-1546378B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24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24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124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4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24F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124F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94FB503085F843A83329E266987FF3" ma:contentTypeVersion="17" ma:contentTypeDescription="Stvaranje novog dokumenta." ma:contentTypeScope="" ma:versionID="16ee7fd2715f3cc33f9ed39d0ac69c4a">
  <xsd:schema xmlns:xsd="http://www.w3.org/2001/XMLSchema" xmlns:xs="http://www.w3.org/2001/XMLSchema" xmlns:p="http://schemas.microsoft.com/office/2006/metadata/properties" xmlns:ns1="http://schemas.microsoft.com/sharepoint/v3" xmlns:ns3="aa91c585-f7f0-406f-b27f-8735a1cd9f7a" xmlns:ns4="430477b9-bad2-433b-b7b3-6fae8a351285" targetNamespace="http://schemas.microsoft.com/office/2006/metadata/properties" ma:root="true" ma:fieldsID="55f98a70f9ffc058f1aebb1b81d93aec" ns1:_="" ns3:_="" ns4:_="">
    <xsd:import namespace="http://schemas.microsoft.com/sharepoint/v3"/>
    <xsd:import namespace="aa91c585-f7f0-406f-b27f-8735a1cd9f7a"/>
    <xsd:import namespace="430477b9-bad2-433b-b7b3-6fae8a3512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Svojstva jedinstvenog pravilnika za usklađivanje" ma:hidden="true" ma:internalName="_ip_UnifiedCompliancePolicyProperties">
      <xsd:simpleType>
        <xsd:restriction base="dms:Note"/>
      </xsd:simpleType>
    </xsd:element>
    <xsd:element name="_ip_UnifiedCompliancePolicyUIAction" ma:index="23"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1c585-f7f0-406f-b27f-8735a1cd9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0477b9-bad2-433b-b7b3-6fae8a351285"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SharingHintHash" ma:index="1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a91c585-f7f0-406f-b27f-8735a1cd9f7a" xsi:nil="true"/>
  </documentManagement>
</p:properties>
</file>

<file path=customXml/itemProps1.xml><?xml version="1.0" encoding="utf-8"?>
<ds:datastoreItem xmlns:ds="http://schemas.openxmlformats.org/officeDocument/2006/customXml" ds:itemID="{33ABFA84-E636-477B-96CB-FD04FCF64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91c585-f7f0-406f-b27f-8735a1cd9f7a"/>
    <ds:schemaRef ds:uri="430477b9-bad2-433b-b7b3-6fae8a351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77FA7-2CA1-45CD-B116-920A382DA8D4}">
  <ds:schemaRefs>
    <ds:schemaRef ds:uri="http://schemas.microsoft.com/sharepoint/v3/contenttype/forms"/>
  </ds:schemaRefs>
</ds:datastoreItem>
</file>

<file path=customXml/itemProps3.xml><?xml version="1.0" encoding="utf-8"?>
<ds:datastoreItem xmlns:ds="http://schemas.openxmlformats.org/officeDocument/2006/customXml" ds:itemID="{219E4673-3329-4D5A-817C-57AA16D19BF6}">
  <ds:schemaRefs>
    <ds:schemaRef ds:uri="http://purl.org/dc/elements/1.1/"/>
    <ds:schemaRef ds:uri="430477b9-bad2-433b-b7b3-6fae8a351285"/>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aa91c585-f7f0-406f-b27f-8735a1cd9f7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Skeledžija</dc:creator>
  <cp:keywords/>
  <dc:description/>
  <cp:lastModifiedBy>Davor Skeledžija</cp:lastModifiedBy>
  <cp:revision>2</cp:revision>
  <dcterms:created xsi:type="dcterms:W3CDTF">2023-02-15T16:10:00Z</dcterms:created>
  <dcterms:modified xsi:type="dcterms:W3CDTF">2023-02-15T16:21:00Z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0x0101001F94FB503085F843A83329E266987FF3</vt:lpwstr>
  </property>
</Properties>
</file>